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A38E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A38E6" w:rsidRDefault="006D5BB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A38E6" w:rsidRDefault="006D5BB6">
            <w:pPr>
              <w:spacing w:after="0" w:line="240" w:lineRule="auto"/>
            </w:pPr>
            <w:r>
              <w:t>17600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A38E6" w:rsidRDefault="006D5BB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A38E6" w:rsidRDefault="006D5BB6">
            <w:pPr>
              <w:spacing w:after="0" w:line="240" w:lineRule="auto"/>
            </w:pPr>
            <w:r>
              <w:t>SREDNJA ŠKOLA ISIDORA KRŠNJAVOGA NAŠICE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A38E6" w:rsidRDefault="006D5BB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A38E6" w:rsidRDefault="006D5BB6">
            <w:pPr>
              <w:spacing w:after="0" w:line="240" w:lineRule="auto"/>
            </w:pPr>
            <w:r>
              <w:t>31</w:t>
            </w:r>
          </w:p>
        </w:tc>
      </w:tr>
    </w:tbl>
    <w:p w:rsidR="000A38E6" w:rsidRDefault="006D5BB6">
      <w:r>
        <w:br/>
      </w:r>
    </w:p>
    <w:p w:rsidR="000A38E6" w:rsidRDefault="006D5BB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A38E6" w:rsidRDefault="006D5BB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A38E6" w:rsidRDefault="006D5BB6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3.922.855,72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4.228.087,31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3.829.871,31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4.596.380,66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0A38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368.293,35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5.730,12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16.683,85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50.478,36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302,6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0A38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10.953,73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50.478,36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460,8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0A38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0A38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418.771,71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U razdoblju od 1. siječnja do 31. prosinca 2025. prihodi poslovanja ostvareni su u iznosu od 4.228.087,31 EUR. Najznačajnije povećanje prihoda poslovanja u odnosu na isto razdoblje prošle godine ostvareno je na donacijama od pravnih i fizičkih osoba. Priml</w:t>
      </w:r>
      <w:r>
        <w:t>jene su kapitalne donacije od fizičkih osoba (knjige za knjižnicu, uredski stolac i elektronička pisaća mašina); od trgovačkih društava (monitori i oprema za strojarsku struku) te od neprofitnih organizacija (TV uređaji za učionice). Značajno povećanje pri</w:t>
      </w:r>
      <w:r>
        <w:t xml:space="preserve">hoda u odnosu na isto razdoblje prošle godine ostvareno je i od nadležnog proračuna za financiranje nabave nefinancijske imovine </w:t>
      </w:r>
      <w:r>
        <w:lastRenderedPageBreak/>
        <w:t>(dodatno ulaganje na građevinskom objektu školskog praktikuma). Rashodi poslovanja u razdoblju od 1. siječnja do 31. prosinca 2</w:t>
      </w:r>
      <w:r>
        <w:t>025. ostvareni su u iznosu od 4.596.380,66 EUR. Najznačajnije povećanje rashoda ostvareno je na stručnom usavršavanju i to zbog aktivnosti u projektima ERASMUS+.</w:t>
      </w:r>
    </w:p>
    <w:p w:rsidR="000A38E6" w:rsidRDefault="006D5BB6">
      <w:r>
        <w:t>U ovom izvještajnom razdoblju nije bilo prihoda od nefinancijske imovine. Rashodi za nabavu ne</w:t>
      </w:r>
      <w:r>
        <w:t>financijske imovine iznose 50.478,36 EUR. Odnose se na slijedeće:</w:t>
      </w:r>
    </w:p>
    <w:p w:rsidR="000A38E6" w:rsidRDefault="006D5BB6">
      <w:pPr>
        <w:pStyle w:val="Odlomakpopisa"/>
        <w:numPr>
          <w:ilvl w:val="0"/>
          <w:numId w:val="1"/>
        </w:numPr>
      </w:pPr>
      <w:r>
        <w:t>Računala i računalna oprema u vrijednosti 7.877,29 EUR;</w:t>
      </w:r>
    </w:p>
    <w:p w:rsidR="000A38E6" w:rsidRDefault="006D5BB6">
      <w:pPr>
        <w:pStyle w:val="Odlomakpopisa"/>
        <w:numPr>
          <w:ilvl w:val="0"/>
          <w:numId w:val="1"/>
        </w:numPr>
      </w:pPr>
      <w:r>
        <w:t>uredski namještaj i oprema (školska ploča, elektronička pisaća mašina  i stolice za nastavnike u dvorani) u vrijednosti 821,25 EUR;</w:t>
      </w:r>
    </w:p>
    <w:p w:rsidR="000A38E6" w:rsidRDefault="006D5BB6">
      <w:pPr>
        <w:pStyle w:val="Odlomakpopisa"/>
        <w:numPr>
          <w:ilvl w:val="0"/>
          <w:numId w:val="1"/>
        </w:numPr>
      </w:pPr>
      <w:r>
        <w:t>TV</w:t>
      </w:r>
      <w:r>
        <w:t xml:space="preserve"> prijemnici u vrijednosti 3.284,42 EUR;</w:t>
      </w:r>
    </w:p>
    <w:p w:rsidR="000A38E6" w:rsidRDefault="006D5BB6">
      <w:pPr>
        <w:pStyle w:val="Odlomakpopisa"/>
        <w:numPr>
          <w:ilvl w:val="0"/>
          <w:numId w:val="1"/>
        </w:numPr>
      </w:pPr>
      <w:r>
        <w:t>Oprema za grijanje, hlađenje i ventilaciju u vrijednosti 5.049,83 EUR;</w:t>
      </w:r>
    </w:p>
    <w:p w:rsidR="000A38E6" w:rsidRDefault="006D5BB6">
      <w:pPr>
        <w:pStyle w:val="Odlomakpopisa"/>
        <w:numPr>
          <w:ilvl w:val="0"/>
          <w:numId w:val="1"/>
        </w:numPr>
      </w:pPr>
      <w:r>
        <w:t>Oprema za održavanje prostorija u iznosu od 4.625,21 EUR;</w:t>
      </w:r>
    </w:p>
    <w:p w:rsidR="000A38E6" w:rsidRDefault="006D5BB6">
      <w:pPr>
        <w:pStyle w:val="Odlomakpopisa"/>
        <w:numPr>
          <w:ilvl w:val="0"/>
          <w:numId w:val="1"/>
        </w:numPr>
      </w:pPr>
      <w:r>
        <w:t>Ostala oprema za održavanje i zaštitu u iznosu od 3.266,46 EUR;</w:t>
      </w:r>
    </w:p>
    <w:p w:rsidR="000A38E6" w:rsidRDefault="006D5BB6">
      <w:pPr>
        <w:pStyle w:val="Odlomakpopisa"/>
        <w:numPr>
          <w:ilvl w:val="0"/>
          <w:numId w:val="1"/>
        </w:numPr>
      </w:pPr>
      <w:r>
        <w:t>Mjerni i kontrolni uređ</w:t>
      </w:r>
      <w:r>
        <w:t>aji u iznosu od 2.556,25 EUR;</w:t>
      </w:r>
    </w:p>
    <w:p w:rsidR="000A38E6" w:rsidRDefault="006D5BB6">
      <w:pPr>
        <w:pStyle w:val="Odlomakpopisa"/>
        <w:numPr>
          <w:ilvl w:val="0"/>
          <w:numId w:val="1"/>
        </w:numPr>
      </w:pPr>
      <w:r>
        <w:t>Glazbena oprema u iznosu od 154,91 EUR;</w:t>
      </w:r>
    </w:p>
    <w:p w:rsidR="000A38E6" w:rsidRDefault="006D5BB6">
      <w:pPr>
        <w:pStyle w:val="Odlomakpopisa"/>
        <w:numPr>
          <w:ilvl w:val="0"/>
          <w:numId w:val="1"/>
        </w:numPr>
      </w:pPr>
      <w:r>
        <w:t>Uređaji (</w:t>
      </w:r>
      <w:proofErr w:type="spellStart"/>
      <w:r>
        <w:t>lemne</w:t>
      </w:r>
      <w:proofErr w:type="spellEnd"/>
      <w:r>
        <w:t xml:space="preserve"> stanice) u iznosu od 448,56 EUR;</w:t>
      </w:r>
    </w:p>
    <w:p w:rsidR="000A38E6" w:rsidRDefault="006D5BB6">
      <w:pPr>
        <w:pStyle w:val="Odlomakpopisa"/>
        <w:numPr>
          <w:ilvl w:val="0"/>
          <w:numId w:val="1"/>
        </w:numPr>
      </w:pPr>
      <w:r>
        <w:t>Strojevi (uređaj za zavarivanje) u iznosu od 441,89 EUR;</w:t>
      </w:r>
    </w:p>
    <w:p w:rsidR="000A38E6" w:rsidRDefault="006D5BB6">
      <w:pPr>
        <w:pStyle w:val="Odlomakpopisa"/>
        <w:numPr>
          <w:ilvl w:val="0"/>
          <w:numId w:val="1"/>
        </w:numPr>
      </w:pPr>
      <w:r>
        <w:t xml:space="preserve">Oprema (osciloskopi, plastifikator, </w:t>
      </w:r>
      <w:proofErr w:type="spellStart"/>
      <w:r>
        <w:t>praonik</w:t>
      </w:r>
      <w:proofErr w:type="spellEnd"/>
      <w:r>
        <w:t>, akvarij, odstranjivači dima, akcijsk</w:t>
      </w:r>
      <w:r>
        <w:t>a kamera, mikrometri i oprema za strojarsku struku) u ukupnom iznosu od 6.330,66 EUR</w:t>
      </w:r>
    </w:p>
    <w:p w:rsidR="000A38E6" w:rsidRDefault="006D5BB6">
      <w:pPr>
        <w:pStyle w:val="Odlomakpopisa"/>
        <w:numPr>
          <w:ilvl w:val="0"/>
          <w:numId w:val="1"/>
        </w:numPr>
      </w:pPr>
      <w:r>
        <w:t>Knjige u iznosu od 3.114,13 EUR</w:t>
      </w:r>
    </w:p>
    <w:p w:rsidR="000A38E6" w:rsidRDefault="006D5BB6">
      <w:pPr>
        <w:pStyle w:val="Odlomakpopisa"/>
        <w:numPr>
          <w:ilvl w:val="0"/>
          <w:numId w:val="1"/>
        </w:numPr>
      </w:pPr>
      <w:r>
        <w:t>Dodatna ulaganja na građevinskim objektima 12.507,50 EUR</w:t>
      </w:r>
    </w:p>
    <w:p w:rsidR="000A38E6" w:rsidRDefault="006D5BB6">
      <w:r>
        <w:t>Dio imovine financiran je iz prenesenog viška iz prethodne godine te dio iz donaci</w:t>
      </w:r>
      <w:r>
        <w:t>ja i nadležnog proračuna.</w:t>
      </w:r>
    </w:p>
    <w:p w:rsidR="000A38E6" w:rsidRDefault="006D5BB6">
      <w:r>
        <w:t>REZULTAT PO IZVORIMA FINANCIRANJA ZA 2025. GODINU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217"/>
        <w:gridCol w:w="2026"/>
        <w:gridCol w:w="2026"/>
        <w:gridCol w:w="2019"/>
      </w:tblGrid>
      <w:tr w:rsidR="000A38E6">
        <w:trPr>
          <w:trHeight w:val="542"/>
        </w:trPr>
        <w:tc>
          <w:tcPr>
            <w:tcW w:w="1251" w:type="pct"/>
            <w:vAlign w:val="center"/>
          </w:tcPr>
          <w:p w:rsidR="000A38E6" w:rsidRDefault="006D5BB6">
            <w:r>
              <w:t>IZVOR FINANCIRANJA/PROGRAM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PRIHODI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RASHODI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REZULTAT</w:t>
            </w:r>
          </w:p>
        </w:tc>
      </w:tr>
    </w:tbl>
    <w:p w:rsidR="000A38E6" w:rsidRDefault="000A38E6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16"/>
      </w:tblGrid>
      <w:tr w:rsidR="000A38E6">
        <w:tc>
          <w:tcPr>
            <w:tcW w:w="1251" w:type="pct"/>
            <w:vAlign w:val="center"/>
          </w:tcPr>
          <w:p w:rsidR="000A38E6" w:rsidRDefault="006D5BB6">
            <w:r>
              <w:t>11 OPĆI PRIHODI I PRIMICI - ŽUPANIJSKI PRORAČUN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31.460,55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33.827,92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-2.367,37</w:t>
            </w:r>
          </w:p>
        </w:tc>
      </w:tr>
    </w:tbl>
    <w:p w:rsidR="000A38E6" w:rsidRDefault="000A38E6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16"/>
      </w:tblGrid>
      <w:tr w:rsidR="000A38E6">
        <w:tc>
          <w:tcPr>
            <w:tcW w:w="1251" w:type="pct"/>
            <w:vAlign w:val="center"/>
          </w:tcPr>
          <w:p w:rsidR="000A38E6" w:rsidRDefault="006D5BB6">
            <w:r>
              <w:t>32 VLASTITI PRIHODI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57.475,03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61.991,10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-4.516,07</w:t>
            </w:r>
          </w:p>
        </w:tc>
      </w:tr>
    </w:tbl>
    <w:p w:rsidR="000A38E6" w:rsidRDefault="000A38E6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550"/>
        <w:gridCol w:w="2248"/>
        <w:gridCol w:w="2249"/>
        <w:gridCol w:w="2241"/>
      </w:tblGrid>
      <w:tr w:rsidR="000A38E6">
        <w:tc>
          <w:tcPr>
            <w:tcW w:w="1251" w:type="pct"/>
            <w:vAlign w:val="center"/>
          </w:tcPr>
          <w:p w:rsidR="000A38E6" w:rsidRDefault="006D5BB6">
            <w:r>
              <w:t>46 PRIHODI ZA POSEBNE NAMJENE - DECENTRALIZACIJA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229.023,66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224.129,28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4.894,38</w:t>
            </w:r>
          </w:p>
        </w:tc>
      </w:tr>
    </w:tbl>
    <w:p w:rsidR="000A38E6" w:rsidRDefault="000A38E6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16"/>
      </w:tblGrid>
      <w:tr w:rsidR="000A38E6">
        <w:tc>
          <w:tcPr>
            <w:tcW w:w="1251" w:type="pct"/>
            <w:vAlign w:val="center"/>
          </w:tcPr>
          <w:p w:rsidR="000A38E6" w:rsidRDefault="006D5BB6">
            <w:r>
              <w:t xml:space="preserve">5212 POMOĆI - ŽUPANIJSKI PRORAČUN- </w:t>
            </w:r>
            <w:r>
              <w:lastRenderedPageBreak/>
              <w:t>SHEMA VOĆE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lastRenderedPageBreak/>
              <w:t>4.939,89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4.939,89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0,00</w:t>
            </w:r>
          </w:p>
        </w:tc>
      </w:tr>
    </w:tbl>
    <w:p w:rsidR="000A38E6" w:rsidRDefault="000A38E6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16"/>
      </w:tblGrid>
      <w:tr w:rsidR="000A38E6">
        <w:tc>
          <w:tcPr>
            <w:tcW w:w="1251" w:type="pct"/>
            <w:vAlign w:val="center"/>
          </w:tcPr>
          <w:p w:rsidR="000A38E6" w:rsidRDefault="006D5BB6">
            <w:r>
              <w:t>526 POMOĆI - ŽUPANIJSKI PRORAČUN - EU PROJEKTI - UČIMO ZAJEDNO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31.602,68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29.203,36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2.399,32</w:t>
            </w:r>
          </w:p>
        </w:tc>
      </w:tr>
    </w:tbl>
    <w:p w:rsidR="000A38E6" w:rsidRDefault="000A38E6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16"/>
      </w:tblGrid>
      <w:tr w:rsidR="000A38E6">
        <w:tc>
          <w:tcPr>
            <w:tcW w:w="1251" w:type="pct"/>
            <w:vAlign w:val="center"/>
          </w:tcPr>
          <w:p w:rsidR="000A38E6" w:rsidRDefault="006D5BB6">
            <w:r>
              <w:t>54 POMOĆI - KORISNICI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3.868.155,75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4.282.583,87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-414.428,12</w:t>
            </w:r>
          </w:p>
        </w:tc>
      </w:tr>
    </w:tbl>
    <w:p w:rsidR="000A38E6" w:rsidRDefault="000A38E6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16"/>
      </w:tblGrid>
      <w:tr w:rsidR="000A38E6">
        <w:tc>
          <w:tcPr>
            <w:tcW w:w="1251" w:type="pct"/>
            <w:vAlign w:val="center"/>
          </w:tcPr>
          <w:p w:rsidR="000A38E6" w:rsidRDefault="006D5BB6">
            <w:r>
              <w:t>62 DONACIJE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5.429,75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5.238,60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191,15</w:t>
            </w:r>
          </w:p>
        </w:tc>
      </w:tr>
    </w:tbl>
    <w:p w:rsidR="000A38E6" w:rsidRDefault="000A38E6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16"/>
      </w:tblGrid>
      <w:tr w:rsidR="000A38E6">
        <w:tc>
          <w:tcPr>
            <w:tcW w:w="1251" w:type="pct"/>
            <w:vAlign w:val="center"/>
          </w:tcPr>
          <w:p w:rsidR="000A38E6" w:rsidRDefault="006D5BB6">
            <w:r>
              <w:t>72 PRIHODI OD PRODAJE PROIZV. DUGOTRAJNE IMOVINE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0,00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4.945,00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-4.945,00</w:t>
            </w:r>
          </w:p>
        </w:tc>
      </w:tr>
    </w:tbl>
    <w:p w:rsidR="000A38E6" w:rsidRDefault="000A38E6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16"/>
      </w:tblGrid>
      <w:tr w:rsidR="000A38E6">
        <w:trPr>
          <w:trHeight w:val="542"/>
        </w:trPr>
        <w:tc>
          <w:tcPr>
            <w:tcW w:w="1251" w:type="pct"/>
            <w:vAlign w:val="center"/>
          </w:tcPr>
          <w:p w:rsidR="000A38E6" w:rsidRDefault="006D5BB6">
            <w:r>
              <w:t>UKUPNO REZULTAT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4.228.087,31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4.646.829,02</w:t>
            </w:r>
          </w:p>
        </w:tc>
        <w:tc>
          <w:tcPr>
            <w:tcW w:w="1251" w:type="pct"/>
            <w:vAlign w:val="center"/>
          </w:tcPr>
          <w:p w:rsidR="000A38E6" w:rsidRDefault="006D5BB6">
            <w:r>
              <w:t>-418.771,71</w:t>
            </w:r>
          </w:p>
        </w:tc>
      </w:tr>
    </w:tbl>
    <w:p w:rsidR="000A38E6" w:rsidRDefault="006D5BB6">
      <w:r>
        <w:t> </w:t>
      </w:r>
    </w:p>
    <w:p w:rsidR="000A38E6" w:rsidRDefault="006D5BB6">
      <w:r>
        <w:br/>
      </w:r>
    </w:p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16.827,15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959,1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U izvještajnom razdoblju primljeni su prihodi za dodatno ulaganje na građevinskim objektima (pojačanje struje u ugostiteljskom praktikumu) u iznosu od 12.500,00 EUR. Također je u okviru projekta Centar izvrsnosti nabavljena dugotrajna imo</w:t>
      </w:r>
      <w:r>
        <w:t>vina u iznosu od 1.954,15 EUR.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28.107,98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138.601,34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493,1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Povećanje u odnosu na prošlu godinu zbog većih aktivnosti u okvir</w:t>
      </w:r>
      <w:bookmarkStart w:id="0" w:name="_GoBack"/>
      <w:bookmarkEnd w:id="0"/>
      <w:r>
        <w:t>u ERASMUS+ projekata i većeg broja mobilnosti učenika i nastavnika.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21,4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Nije bilo potrebe za kupnjom nove zaštitne radne odjeće i obuće za zaposlenike koji na to imaju pravo.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0A38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368.293,35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Razlog manjku prihoda poslovanja je promjena u načinu knjiženja plaće za 12.mj. tako što je sada knjižena u izvještajnu godinu, a prihodi će biti knjiženi u slijedećoj godini.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proizvedene dugotrajne imovine (šifre 721+722+723+724+725+726)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5.730,12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U izvještajnom razdoblju nije bilo prodaje rashodovane imovine.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Dodatna ulaganja na </w:t>
            </w:r>
            <w:r>
              <w:rPr>
                <w:sz w:val="18"/>
              </w:rPr>
              <w:t>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12.507,50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Radovi za povećanje jakosti struje u ugostiteljskom praktikumu.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13.289,18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386.004,36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2904,7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Prema novom načinu knjiženja na računu 9636  na kraju godine se nalazi plaća i novčana naknada za 12.mj., materijalna prava zaposlenika za 11. i 12.mj., kao i prema Uputi knjigovodstveno evidentirani EU projekti u visini ostvarenih rashoda u 2025.g.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298.611,84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Nema podatka u izvještajnom razdoblju zbog ukidanja podskupine računa 193.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zaposlenih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Potraživanje od zaposlenika za više isplaćeno bolovanje u 10.mj.2025. Povrat će se izvršiti u tri rate temeljem potpisane izjave zaposlenika.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</w:t>
            </w:r>
            <w:r>
              <w:rPr>
                <w:sz w:val="18"/>
              </w:rPr>
              <w:t xml:space="preserve">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5825,6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Bolovanja na teret HZZO-a koja do kraja godine nisu refundirana (nismo dobili obavij</w:t>
      </w:r>
      <w:r w:rsidR="005870CC">
        <w:t>e</w:t>
      </w:r>
      <w:r>
        <w:t>st o zatvaranju potraživanja).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324.820,92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Plaća, novčana naknada i materijalna prava zaposlenika zbog novog načina knjiženja.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46.305,95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Potraživanja za EU projekte u visini ostvarenih rashoda u 2025.g.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Osobni prijevoz za učenika s teškoćama koji je isplaćen u 2026.g. budući da su prihodi primljeni 31.12.2025.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Nema podatka za izvještajno razdoblje zbog novog načina knjiženja (na račun 27612).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439.383,69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20.533,04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4,7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Prema uputi iz Okružnice izvršena je korekcija rezultata iz prošle godine za 29.335,40 EUR te je nakon toga višak prihoda poslovanja iznosio 410.048,29 EUR. Budući da je u ovoj godini ostvaren manjak prihoda poslovanja u iz</w:t>
      </w:r>
      <w:r w:rsidR="005870CC">
        <w:t>n</w:t>
      </w:r>
      <w:r>
        <w:t xml:space="preserve">osu od 368.293,35 EUR provedeno </w:t>
      </w:r>
      <w:r>
        <w:t>je prebijanje rezultata po istovrsnim kategorijama na način da je račun 92211 Višak prihoda poslovanja umanjen za 368.293,35 EUR. Nakon toga je izvršena i obvezna korekcija rezultata prema čl.215. Pravilnika o proračunskom računovodstvu za iznos kapitalnih</w:t>
      </w:r>
      <w:r>
        <w:t xml:space="preserve"> prijenosa u visini 21.221,90 EUR. Nakon svega rezultat iznosi 20.533,04 EUR.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3.846.555,16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4.646.859,02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Iznos rashoda poslovanja i rashoda za nabavu nefinancijske imovine. Isti podatak iskazan je u obrascu PR-RAS na šifri Y345.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0A38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90.737,46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Smanjenje za iznos provedenog ispravka vrijednosti 31.12.2025. i rashodovanja opreme i računala sa datumom 31.12.2025.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0A38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24.238,43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Povećanje temeljem rješenja o prijenosu knjigovodstvene vrijednosti za računala i uknjižbe prema zapisniku o procjeni vrijednosti automobila.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0A38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financijske imovine (šifre P024 do P030)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Otpis potraživanja po odluci ravnatelja i povjerenstva za popis zbog isteka roka za polaganje ispita u obrazovanju odraslih.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A3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38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0A38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A38E6" w:rsidRDefault="006D5BB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A38E6" w:rsidRDefault="000A38E6">
      <w:pPr>
        <w:spacing w:after="0"/>
      </w:pPr>
    </w:p>
    <w:p w:rsidR="000A38E6" w:rsidRDefault="006D5BB6">
      <w:r>
        <w:t>Na kraju izvještajnog razdoblja nema dos</w:t>
      </w:r>
      <w:r w:rsidR="005870CC">
        <w:t>p</w:t>
      </w:r>
      <w:r>
        <w:t>jelih obveza.</w:t>
      </w:r>
    </w:p>
    <w:p w:rsidR="000A38E6" w:rsidRDefault="000A38E6"/>
    <w:p w:rsidR="000A38E6" w:rsidRDefault="006D5BB6">
      <w:pPr>
        <w:keepNext/>
        <w:spacing w:line="240" w:lineRule="auto"/>
        <w:jc w:val="center"/>
      </w:pPr>
      <w:r>
        <w:rPr>
          <w:sz w:val="28"/>
        </w:rPr>
        <w:t>Bilješka 22.</w:t>
      </w:r>
    </w:p>
    <w:p w:rsidR="000A38E6" w:rsidRDefault="006D5BB6">
      <w:pPr>
        <w:spacing w:line="240" w:lineRule="auto"/>
        <w:jc w:val="both"/>
      </w:pPr>
      <w:r>
        <w:rPr>
          <w:b/>
        </w:rPr>
        <w:t>EU izvještaj</w:t>
      </w:r>
    </w:p>
    <w:p w:rsidR="000A38E6" w:rsidRDefault="006D5BB6">
      <w:r>
        <w:t>U izvještajnom razdoblju ostvareni su prihodi za projekt 2024-1-HR01-KA121-VET-000204615 po završnom izvješću u iznosu od 11.881,20 EUR. Za isti projekt napravljena je korekcija rezultata prema uputi iz Okružnice Ministarstva financija za iznos sredstava k</w:t>
      </w:r>
      <w:r>
        <w:t>oji su ostali neutrošeni u odnosu na prihode primljene u 2024.g. (za 29.335,40 EUR). Rashodi koji su nastali u 2025.g. su knjiženi na rashode, dok se prema Uputi primljena sredstva u 2025.g. knjiže na račun 27521 Obveze za EU predujmove. Radi se o projektu</w:t>
      </w:r>
      <w:r>
        <w:t xml:space="preserve"> 2025-1-HR01-KA 121-VET-000316305 ZA-403-2025 (u iznosu od 71.614,40 EUR) i projektu 2025-1-HR01-KA121-SCH-000313545 ZA-513-2025 (u iznosu od 36.707,20 EUR).</w:t>
      </w:r>
    </w:p>
    <w:p w:rsidR="000A38E6" w:rsidRDefault="006D5BB6">
      <w:r>
        <w:t xml:space="preserve">U </w:t>
      </w:r>
      <w:proofErr w:type="spellStart"/>
      <w:r>
        <w:t>izvan</w:t>
      </w:r>
      <w:r w:rsidR="005870CC">
        <w:t>bi</w:t>
      </w:r>
      <w:r>
        <w:t>lančnim</w:t>
      </w:r>
      <w:proofErr w:type="spellEnd"/>
      <w:r>
        <w:t xml:space="preserve"> zapisima uvedeni su navedeni projekti u punom iznosu ugovora, kao i ostatak vrijed</w:t>
      </w:r>
      <w:r>
        <w:t>nosti za ugovor 2024-1-NO01-KA220-SCH-000257506.</w:t>
      </w:r>
    </w:p>
    <w:p w:rsidR="000A38E6" w:rsidRDefault="000A38E6"/>
    <w:sectPr w:rsidR="000A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F1225"/>
    <w:multiLevelType w:val="hybridMultilevel"/>
    <w:tmpl w:val="9760B19C"/>
    <w:name w:val="disc"/>
    <w:lvl w:ilvl="0" w:tplc="5E4867D6">
      <w:start w:val="1"/>
      <w:numFmt w:val="bullet"/>
      <w:lvlText w:val="•"/>
      <w:lvlJc w:val="left"/>
      <w:pPr>
        <w:ind w:left="720" w:hanging="360"/>
      </w:pPr>
    </w:lvl>
    <w:lvl w:ilvl="1" w:tplc="16F6365E">
      <w:start w:val="1"/>
      <w:numFmt w:val="bullet"/>
      <w:lvlText w:val="•"/>
      <w:lvlJc w:val="left"/>
      <w:pPr>
        <w:ind w:left="1440" w:hanging="360"/>
      </w:pPr>
    </w:lvl>
    <w:lvl w:ilvl="2" w:tplc="0926733E">
      <w:start w:val="1"/>
      <w:numFmt w:val="bullet"/>
      <w:lvlText w:val="•"/>
      <w:lvlJc w:val="left"/>
      <w:pPr>
        <w:ind w:left="2160" w:hanging="360"/>
      </w:pPr>
    </w:lvl>
    <w:lvl w:ilvl="3" w:tplc="7ECA838A">
      <w:start w:val="1"/>
      <w:numFmt w:val="bullet"/>
      <w:lvlText w:val="•"/>
      <w:lvlJc w:val="left"/>
      <w:pPr>
        <w:ind w:left="2880" w:hanging="360"/>
      </w:pPr>
    </w:lvl>
    <w:lvl w:ilvl="4" w:tplc="AB186A28">
      <w:start w:val="1"/>
      <w:numFmt w:val="bullet"/>
      <w:lvlText w:val="•"/>
      <w:lvlJc w:val="left"/>
      <w:pPr>
        <w:ind w:left="3600" w:hanging="360"/>
      </w:pPr>
    </w:lvl>
    <w:lvl w:ilvl="5" w:tplc="F942DD98">
      <w:start w:val="1"/>
      <w:numFmt w:val="bullet"/>
      <w:lvlText w:val="•"/>
      <w:lvlJc w:val="left"/>
      <w:pPr>
        <w:ind w:left="4320" w:hanging="360"/>
      </w:pPr>
    </w:lvl>
    <w:lvl w:ilvl="6" w:tplc="D10E91A4">
      <w:start w:val="1"/>
      <w:numFmt w:val="bullet"/>
      <w:lvlText w:val="•"/>
      <w:lvlJc w:val="left"/>
      <w:pPr>
        <w:ind w:left="5040" w:hanging="360"/>
      </w:pPr>
    </w:lvl>
    <w:lvl w:ilvl="7" w:tplc="E722B7C0">
      <w:start w:val="1"/>
      <w:numFmt w:val="bullet"/>
      <w:lvlText w:val="•"/>
      <w:lvlJc w:val="left"/>
      <w:pPr>
        <w:ind w:left="5760" w:hanging="360"/>
      </w:pPr>
    </w:lvl>
    <w:lvl w:ilvl="8" w:tplc="BD70E7D6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8E6"/>
    <w:rsid w:val="000A38E6"/>
    <w:rsid w:val="005870CC"/>
    <w:rsid w:val="006D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933E"/>
  <w15:docId w15:val="{1F24D059-D95D-49D6-B470-8AAFE7BE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1798</Words>
  <Characters>10253</Characters>
  <Application>Microsoft Office Word</Application>
  <DocSecurity>0</DocSecurity>
  <Lines>85</Lines>
  <Paragraphs>24</Paragraphs>
  <ScaleCrop>false</ScaleCrop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Marija Božić</cp:lastModifiedBy>
  <cp:revision>3</cp:revision>
  <dcterms:created xsi:type="dcterms:W3CDTF">2026-01-30T10:31:00Z</dcterms:created>
  <dcterms:modified xsi:type="dcterms:W3CDTF">2026-01-30T10:32:00Z</dcterms:modified>
</cp:coreProperties>
</file>