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7470E" w14:textId="5270368F" w:rsidR="00517352" w:rsidRDefault="00517352" w:rsidP="00517352">
      <w:r>
        <w:t>Našice, 11. lipnja 2021.</w:t>
      </w:r>
    </w:p>
    <w:p w14:paraId="62B8805A" w14:textId="65A72D71" w:rsidR="008A399D" w:rsidRDefault="00F45B88" w:rsidP="00F45B88">
      <w:pPr>
        <w:jc w:val="center"/>
      </w:pPr>
      <w:r>
        <w:t>Izvješ</w:t>
      </w:r>
      <w:r w:rsidR="00A20101">
        <w:t>ć</w:t>
      </w:r>
      <w:r>
        <w:t xml:space="preserve">e o istraživanju </w:t>
      </w:r>
      <w:r w:rsidR="007C14AD">
        <w:rPr>
          <w:b/>
        </w:rPr>
        <w:t>Formativnim vrednovanjem</w:t>
      </w:r>
      <w:r w:rsidRPr="00F45B88">
        <w:rPr>
          <w:b/>
        </w:rPr>
        <w:t xml:space="preserve"> do boljeg uspjeha</w:t>
      </w:r>
    </w:p>
    <w:p w14:paraId="5B20EC56" w14:textId="77777777" w:rsidR="00F45B88" w:rsidRDefault="00F45B88" w:rsidP="00F45B88"/>
    <w:p w14:paraId="191791CF" w14:textId="7F2C6838" w:rsidR="00F45B88" w:rsidRDefault="00F45B88" w:rsidP="00F45B88">
      <w:r>
        <w:t xml:space="preserve">Tijekom svibnja 2021. godine u našoj je školi na nastavi Matematike održano kraće neformalno istraživanje Vrednovanje za/kao učenjem do boljeg  uspjeha. Istraživanje su u </w:t>
      </w:r>
      <w:r w:rsidR="007C14AD">
        <w:t>drugim</w:t>
      </w:r>
      <w:r>
        <w:t xml:space="preserve"> razredima</w:t>
      </w:r>
      <w:r w:rsidR="007C14AD">
        <w:t xml:space="preserve"> gimnazije</w:t>
      </w:r>
      <w:r w:rsidR="00517352">
        <w:t xml:space="preserve"> i tehničara za elektroniku</w:t>
      </w:r>
      <w:r>
        <w:t xml:space="preserve"> provodili </w:t>
      </w:r>
      <w:r w:rsidR="007C14AD" w:rsidRPr="00D92EDA">
        <w:rPr>
          <w:b/>
        </w:rPr>
        <w:t>Renata Pintar</w:t>
      </w:r>
      <w:r w:rsidRPr="00D92EDA">
        <w:rPr>
          <w:b/>
        </w:rPr>
        <w:t>, prof.</w:t>
      </w:r>
      <w:r>
        <w:t xml:space="preserve"> i </w:t>
      </w:r>
      <w:r w:rsidRPr="00D92EDA">
        <w:rPr>
          <w:b/>
        </w:rPr>
        <w:t>Josip Kličinović, prof.</w:t>
      </w:r>
      <w:r>
        <w:t xml:space="preserve"> Cilj </w:t>
      </w:r>
      <w:r w:rsidR="00915F57">
        <w:t>formativnog vrednovanja</w:t>
      </w:r>
      <w:r>
        <w:t xml:space="preserve"> je unaprijediti nastavu, korigirati moguće </w:t>
      </w:r>
      <w:proofErr w:type="spellStart"/>
      <w:r>
        <w:t>miskoncepcije</w:t>
      </w:r>
      <w:proofErr w:type="spellEnd"/>
      <w:r>
        <w:t xml:space="preserve"> (pogrešna shvaćanja) koje učenici možda imaju, ukazati nastavniku na kojim stvarima treba dodatno poraditi na budućim nastavnim satima. Potom učenike ohrabriti da pokažu svoje znanje i bez straha jednostavnim aktivnostima, te im kvalitativnom povratom informacijom ukazati na dijelove gradiva koji im dobro idu i dijelove gradiva na kojima bi trebali dodatno poraditi. Takvom povratnom informacijom postiže se ciljano usmjeravanje učenika koje bi trebalo dovesti i do boljeg svladavanja gradiva, a samim time i poboljšanja ocjene iz predmeta. Važna komponenta u svemu tome je i samovrednovanje učenika čime učenika potaknemo da preispita svoje znanje i shvaćanje nastavnog gradiva, a kako bi i on utjecao na svoj proces učenja i upravljao svojim vremenom.</w:t>
      </w:r>
    </w:p>
    <w:p w14:paraId="384181A0" w14:textId="77777777" w:rsidR="00F45B88" w:rsidRDefault="00F45B88" w:rsidP="00F45B88">
      <w:r>
        <w:t xml:space="preserve">U nastavku prikazujemo slike aktivnosti </w:t>
      </w:r>
      <w:r w:rsidR="00915F57">
        <w:t>neke metode formativnog vrednovanja slične onima koje su radili na nastavi, kao i opis svake metode:</w:t>
      </w:r>
    </w:p>
    <w:p w14:paraId="44169F48" w14:textId="77777777" w:rsidR="00F45B88" w:rsidRDefault="00F45B88" w:rsidP="00A20101">
      <w:pPr>
        <w:jc w:val="center"/>
      </w:pPr>
      <w:r w:rsidRPr="00F45B88">
        <w:rPr>
          <w:noProof/>
        </w:rPr>
        <w:drawing>
          <wp:inline distT="0" distB="0" distL="0" distR="0" wp14:anchorId="19055ECC" wp14:editId="7E126A4F">
            <wp:extent cx="5943600" cy="3655695"/>
            <wp:effectExtent l="0" t="0" r="0" b="1905"/>
            <wp:docPr id="5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325D8643-8CF1-40AA-B0C6-06A7CAAF720E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325D8643-8CF1-40AA-B0C6-06A7CAAF720E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963ED" w14:textId="77777777" w:rsidR="00F45B88" w:rsidRDefault="00F45B88" w:rsidP="00F45B88">
      <w:r>
        <w:t>Ovom aktivnošću učenici moraju razmisliti za svaku tvrdnju je li uvijek istinita, ponekad istinita ili nikad istinita, i potom svoj izbor obrazložiti. Na taj način potičemo učeni</w:t>
      </w:r>
      <w:r w:rsidR="006A207E">
        <w:t>ke da razmisle o tvrdnjama i da matematički pravilno obrazlože svoj izbor.</w:t>
      </w:r>
    </w:p>
    <w:p w14:paraId="3EAB3B9C" w14:textId="77777777" w:rsidR="006A207E" w:rsidRDefault="006A207E" w:rsidP="00A20101">
      <w:pPr>
        <w:jc w:val="center"/>
      </w:pPr>
      <w:r w:rsidRPr="006A207E">
        <w:rPr>
          <w:noProof/>
        </w:rPr>
        <w:lastRenderedPageBreak/>
        <w:drawing>
          <wp:inline distT="0" distB="0" distL="0" distR="0" wp14:anchorId="23854D5D" wp14:editId="4BF5BB95">
            <wp:extent cx="4959047" cy="4388537"/>
            <wp:effectExtent l="0" t="0" r="0" b="0"/>
            <wp:docPr id="1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325D8643-8CF1-40AA-B0C6-06A7CAAF720E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325D8643-8CF1-40AA-B0C6-06A7CAAF720E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047" cy="4388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AB892" w14:textId="77777777" w:rsidR="006A207E" w:rsidRDefault="006A207E" w:rsidP="00F45B88">
      <w:r>
        <w:t xml:space="preserve">Ova se aktivnost zove </w:t>
      </w:r>
      <w:proofErr w:type="spellStart"/>
      <w:r>
        <w:t>Freyerov</w:t>
      </w:r>
      <w:proofErr w:type="spellEnd"/>
      <w:r>
        <w:t xml:space="preserve"> model. U sredini je zadan pojam (</w:t>
      </w:r>
      <w:r w:rsidR="00915F57">
        <w:t xml:space="preserve">učenici su u središtu imali pojam </w:t>
      </w:r>
      <w:r w:rsidR="00915F57" w:rsidRPr="00915F57">
        <w:rPr>
          <w:i/>
        </w:rPr>
        <w:t>Uspravna pravilna prizma</w:t>
      </w:r>
      <w:r>
        <w:t>), a zadatak učenicima je napisati definiciju tog pojma, karakteristike, primjere i protuprimjere.</w:t>
      </w:r>
    </w:p>
    <w:p w14:paraId="7E279E44" w14:textId="77777777" w:rsidR="006A207E" w:rsidRDefault="006A207E" w:rsidP="00A20101">
      <w:pPr>
        <w:jc w:val="center"/>
      </w:pPr>
      <w:r w:rsidRPr="006A207E">
        <w:rPr>
          <w:noProof/>
        </w:rPr>
        <w:lastRenderedPageBreak/>
        <w:drawing>
          <wp:inline distT="0" distB="0" distL="0" distR="0" wp14:anchorId="2D2A11F4" wp14:editId="41FF9AC7">
            <wp:extent cx="5943600" cy="3357880"/>
            <wp:effectExtent l="0" t="0" r="0" b="0"/>
            <wp:docPr id="2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325D8643-8CF1-40AA-B0C6-06A7CAAF720E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325D8643-8CF1-40AA-B0C6-06A7CAAF720E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F7FC0" w14:textId="77777777" w:rsidR="006A207E" w:rsidRDefault="006A207E" w:rsidP="00F45B88">
      <w:r>
        <w:t>Ova se aktivnost naziva KWL tablica te u nju učenici na početku sata napišu što već znaju o nekom pojmu, a na kraju sata navedu što su naučili i što žele znati.</w:t>
      </w:r>
    </w:p>
    <w:p w14:paraId="0F04DC11" w14:textId="77777777" w:rsidR="00915F57" w:rsidRDefault="00915F57" w:rsidP="00F45B88">
      <w:r w:rsidRPr="00915F57">
        <w:rPr>
          <w:noProof/>
        </w:rPr>
        <w:drawing>
          <wp:inline distT="0" distB="0" distL="0" distR="0" wp14:anchorId="05E195AB" wp14:editId="3A377EA3">
            <wp:extent cx="5943600" cy="1077595"/>
            <wp:effectExtent l="0" t="0" r="0" b="8255"/>
            <wp:docPr id="3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325D8643-8CF1-40AA-B0C6-06A7CAAF720E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325D8643-8CF1-40AA-B0C6-06A7CAAF720E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B408E" w14:textId="77777777" w:rsidR="00915F57" w:rsidRDefault="00915F57" w:rsidP="00F45B88">
      <w:r>
        <w:t>Samoprocjena učenika je važan dio formativnog vrednovanja jer učenici moraju razmisliti koliko dobro vladaju određenim dijelom gradiva.</w:t>
      </w:r>
    </w:p>
    <w:p w14:paraId="3B687342" w14:textId="77777777" w:rsidR="006A207E" w:rsidRDefault="006A207E" w:rsidP="00F45B88">
      <w:r>
        <w:t xml:space="preserve">Kroz sve </w:t>
      </w:r>
      <w:r w:rsidR="00915F57">
        <w:t>četiri</w:t>
      </w:r>
      <w:r>
        <w:t xml:space="preserve"> prikazane aktivnosti </w:t>
      </w:r>
      <w:r w:rsidR="00915F57">
        <w:t>nastavnica</w:t>
      </w:r>
      <w:r>
        <w:t xml:space="preserve"> može lako ustanoviti </w:t>
      </w:r>
      <w:proofErr w:type="spellStart"/>
      <w:r>
        <w:t>miskoncepcije</w:t>
      </w:r>
      <w:proofErr w:type="spellEnd"/>
      <w:r>
        <w:t xml:space="preserve"> kod učenika i pravovremeno ih korigirati, kako iz te </w:t>
      </w:r>
      <w:proofErr w:type="spellStart"/>
      <w:r>
        <w:t>miskoncepcije</w:t>
      </w:r>
      <w:proofErr w:type="spellEnd"/>
      <w:r>
        <w:t xml:space="preserve"> ne bi nastale dodatne </w:t>
      </w:r>
      <w:proofErr w:type="spellStart"/>
      <w:r>
        <w:t>miskoncepcije</w:t>
      </w:r>
      <w:proofErr w:type="spellEnd"/>
      <w:r>
        <w:t>.</w:t>
      </w:r>
      <w:r w:rsidR="00915F57">
        <w:t xml:space="preserve"> Premda je svaka od aktivnosti važna, posebno ističemo posljednju kojom učenici </w:t>
      </w:r>
      <w:proofErr w:type="spellStart"/>
      <w:r w:rsidR="00915F57">
        <w:t>samoprocjenjuju</w:t>
      </w:r>
      <w:proofErr w:type="spellEnd"/>
      <w:r w:rsidR="00915F57">
        <w:t xml:space="preserve"> vlastita znanja, vještine i kompetencije te na taj način mogu preuzeti odgovornost za vlastiti uspjeh i osvijestiti sebi na čemu trebaju dodatno poraditi.</w:t>
      </w:r>
    </w:p>
    <w:p w14:paraId="311A857E" w14:textId="77777777" w:rsidR="006A207E" w:rsidRDefault="006A207E" w:rsidP="00F45B88">
      <w:r>
        <w:t xml:space="preserve">Potom je provedeno kraće ispitivanje stavova učenika kroz </w:t>
      </w:r>
      <w:proofErr w:type="spellStart"/>
      <w:r>
        <w:t>Likerovu</w:t>
      </w:r>
      <w:proofErr w:type="spellEnd"/>
      <w:r>
        <w:t xml:space="preserve"> skalu u 6 stupnjeva (gdje je 1 = uopće se ne slažem; 6 = u potpunosti se slažem. U nastavku donosimo izjave, te osnovnu statističku analizu odgovora: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40"/>
        <w:gridCol w:w="1843"/>
        <w:gridCol w:w="2267"/>
      </w:tblGrid>
      <w:tr w:rsidR="006A207E" w14:paraId="38B266A6" w14:textId="77777777" w:rsidTr="00A20101">
        <w:tc>
          <w:tcPr>
            <w:tcW w:w="5240" w:type="dxa"/>
            <w:shd w:val="clear" w:color="auto" w:fill="D9D9D9" w:themeFill="background1" w:themeFillShade="D9"/>
          </w:tcPr>
          <w:p w14:paraId="617FF66F" w14:textId="77777777" w:rsidR="006A207E" w:rsidRPr="00A20101" w:rsidRDefault="006A207E" w:rsidP="00A20101">
            <w:pPr>
              <w:jc w:val="center"/>
              <w:rPr>
                <w:highlight w:val="lightGray"/>
              </w:rPr>
            </w:pPr>
            <w:r w:rsidRPr="00A20101">
              <w:rPr>
                <w:highlight w:val="lightGray"/>
              </w:rPr>
              <w:t>Izjava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51DDAFE" w14:textId="77777777" w:rsidR="006A207E" w:rsidRPr="00A20101" w:rsidRDefault="006A207E" w:rsidP="00A20101">
            <w:pPr>
              <w:jc w:val="center"/>
              <w:rPr>
                <w:highlight w:val="lightGray"/>
              </w:rPr>
            </w:pPr>
            <w:r w:rsidRPr="00A20101">
              <w:rPr>
                <w:highlight w:val="lightGray"/>
              </w:rPr>
              <w:t>Prosječna ocjena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6566ED81" w14:textId="77777777" w:rsidR="006A207E" w:rsidRPr="00A20101" w:rsidRDefault="006A207E" w:rsidP="00A20101">
            <w:pPr>
              <w:jc w:val="center"/>
              <w:rPr>
                <w:highlight w:val="lightGray"/>
              </w:rPr>
            </w:pPr>
            <w:r w:rsidRPr="00A20101">
              <w:rPr>
                <w:highlight w:val="lightGray"/>
              </w:rPr>
              <w:t>Standardna devijacija</w:t>
            </w:r>
          </w:p>
        </w:tc>
      </w:tr>
      <w:tr w:rsidR="006A207E" w14:paraId="06B5B80D" w14:textId="77777777" w:rsidTr="006A207E">
        <w:tc>
          <w:tcPr>
            <w:tcW w:w="5240" w:type="dxa"/>
          </w:tcPr>
          <w:p w14:paraId="2F18C0A7" w14:textId="77777777" w:rsidR="006A207E" w:rsidRDefault="006A207E" w:rsidP="00F45B88">
            <w:r w:rsidRPr="006A207E">
              <w:t>Provedene su aktivnosti zanimljive.</w:t>
            </w:r>
          </w:p>
        </w:tc>
        <w:tc>
          <w:tcPr>
            <w:tcW w:w="1843" w:type="dxa"/>
          </w:tcPr>
          <w:p w14:paraId="63A3920B" w14:textId="77777777" w:rsidR="006A207E" w:rsidRPr="006A207E" w:rsidRDefault="00517352" w:rsidP="00F45B88">
            <w:pPr>
              <w:rPr>
                <w:rFonts w:eastAsiaTheme="minorEastAsi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Cambria Math"/>
                  </w:rPr>
                  <m:t>=3.83</m:t>
                </m:r>
              </m:oMath>
            </m:oMathPara>
          </w:p>
        </w:tc>
        <w:tc>
          <w:tcPr>
            <w:tcW w:w="2267" w:type="dxa"/>
          </w:tcPr>
          <w:p w14:paraId="1526A5DC" w14:textId="77777777" w:rsidR="006A207E" w:rsidRPr="006A207E" w:rsidRDefault="00517352" w:rsidP="00F45B88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=1.34</m:t>
                </m:r>
              </m:oMath>
            </m:oMathPara>
          </w:p>
        </w:tc>
      </w:tr>
      <w:tr w:rsidR="006A207E" w14:paraId="0A1C7722" w14:textId="77777777" w:rsidTr="006A207E">
        <w:tc>
          <w:tcPr>
            <w:tcW w:w="5240" w:type="dxa"/>
          </w:tcPr>
          <w:p w14:paraId="04627702" w14:textId="77777777" w:rsidR="006A207E" w:rsidRDefault="006A207E" w:rsidP="00F45B88">
            <w:r w:rsidRPr="006A207E">
              <w:t>Ove aktivnosti mogu mi pomoći pri učenju.</w:t>
            </w:r>
          </w:p>
        </w:tc>
        <w:tc>
          <w:tcPr>
            <w:tcW w:w="1843" w:type="dxa"/>
          </w:tcPr>
          <w:p w14:paraId="507C489D" w14:textId="77777777" w:rsidR="006A207E" w:rsidRDefault="00517352" w:rsidP="00F45B88"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Cambria Math"/>
                  </w:rPr>
                  <m:t>=3.75</m:t>
                </m:r>
              </m:oMath>
            </m:oMathPara>
          </w:p>
        </w:tc>
        <w:tc>
          <w:tcPr>
            <w:tcW w:w="2267" w:type="dxa"/>
          </w:tcPr>
          <w:p w14:paraId="4AFA946A" w14:textId="77777777" w:rsidR="006A207E" w:rsidRDefault="00517352" w:rsidP="00F45B88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=1.42</m:t>
                </m:r>
              </m:oMath>
            </m:oMathPara>
          </w:p>
        </w:tc>
      </w:tr>
      <w:tr w:rsidR="006A207E" w14:paraId="39957770" w14:textId="77777777" w:rsidTr="006A207E">
        <w:tc>
          <w:tcPr>
            <w:tcW w:w="5240" w:type="dxa"/>
          </w:tcPr>
          <w:p w14:paraId="011317EA" w14:textId="77777777" w:rsidR="006A207E" w:rsidRDefault="00A20101" w:rsidP="00F45B88">
            <w:r w:rsidRPr="00A20101">
              <w:t>Ove aktivnosti su mi pomogle pri učenju.</w:t>
            </w:r>
          </w:p>
        </w:tc>
        <w:tc>
          <w:tcPr>
            <w:tcW w:w="1843" w:type="dxa"/>
          </w:tcPr>
          <w:p w14:paraId="54892733" w14:textId="77777777" w:rsidR="006A207E" w:rsidRDefault="00517352" w:rsidP="00F45B88"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Cambria Math"/>
                  </w:rPr>
                  <m:t>=3.5</m:t>
                </m:r>
              </m:oMath>
            </m:oMathPara>
          </w:p>
        </w:tc>
        <w:tc>
          <w:tcPr>
            <w:tcW w:w="2267" w:type="dxa"/>
          </w:tcPr>
          <w:p w14:paraId="2CB1BC67" w14:textId="77777777" w:rsidR="006A207E" w:rsidRDefault="00517352" w:rsidP="00F45B88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=1.38</m:t>
                </m:r>
              </m:oMath>
            </m:oMathPara>
          </w:p>
        </w:tc>
      </w:tr>
      <w:tr w:rsidR="006A207E" w14:paraId="7DB1E2B8" w14:textId="77777777" w:rsidTr="006A207E">
        <w:tc>
          <w:tcPr>
            <w:tcW w:w="5240" w:type="dxa"/>
          </w:tcPr>
          <w:p w14:paraId="3613CA1F" w14:textId="77777777" w:rsidR="006A207E" w:rsidRDefault="00A20101" w:rsidP="00F45B88">
            <w:r w:rsidRPr="00A20101">
              <w:lastRenderedPageBreak/>
              <w:t xml:space="preserve">Naknadnom analizom odgovora (s </w:t>
            </w:r>
            <w:r w:rsidR="00915F57">
              <w:t>nastavnikom/</w:t>
            </w:r>
            <w:proofErr w:type="spellStart"/>
            <w:r w:rsidR="00915F57">
              <w:t>icom</w:t>
            </w:r>
            <w:proofErr w:type="spellEnd"/>
            <w:r w:rsidRPr="00A20101">
              <w:t>) mogu naučiti nešto novo // ispraviti pogrešno naučeno.</w:t>
            </w:r>
          </w:p>
        </w:tc>
        <w:tc>
          <w:tcPr>
            <w:tcW w:w="1843" w:type="dxa"/>
          </w:tcPr>
          <w:p w14:paraId="303DD736" w14:textId="77777777" w:rsidR="006A207E" w:rsidRDefault="00517352" w:rsidP="00F45B88"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Cambria Math"/>
                  </w:rPr>
                  <m:t>=5.00</m:t>
                </m:r>
              </m:oMath>
            </m:oMathPara>
          </w:p>
        </w:tc>
        <w:tc>
          <w:tcPr>
            <w:tcW w:w="2267" w:type="dxa"/>
          </w:tcPr>
          <w:p w14:paraId="4F760530" w14:textId="77777777" w:rsidR="006A207E" w:rsidRDefault="00517352" w:rsidP="00F45B88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=1.29</m:t>
                </m:r>
              </m:oMath>
            </m:oMathPara>
          </w:p>
        </w:tc>
      </w:tr>
      <w:tr w:rsidR="006A207E" w14:paraId="5C920F65" w14:textId="77777777" w:rsidTr="006A207E">
        <w:tc>
          <w:tcPr>
            <w:tcW w:w="5240" w:type="dxa"/>
          </w:tcPr>
          <w:p w14:paraId="2C539658" w14:textId="77777777" w:rsidR="006A207E" w:rsidRDefault="00915F57" w:rsidP="00F45B88">
            <w:r>
              <w:t>Nastavnik/</w:t>
            </w:r>
            <w:proofErr w:type="spellStart"/>
            <w:r>
              <w:t>ica</w:t>
            </w:r>
            <w:proofErr w:type="spellEnd"/>
            <w:r w:rsidR="00A20101" w:rsidRPr="00A20101">
              <w:t xml:space="preserve"> može iz mojih odgovora zaključiti što mi u temi/poglavlju (ni)je jasno.</w:t>
            </w:r>
          </w:p>
        </w:tc>
        <w:tc>
          <w:tcPr>
            <w:tcW w:w="1843" w:type="dxa"/>
          </w:tcPr>
          <w:p w14:paraId="1DBB7E38" w14:textId="77777777" w:rsidR="006A207E" w:rsidRDefault="00517352" w:rsidP="00F45B88"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Cambria Math"/>
                  </w:rPr>
                  <m:t>=4.25</m:t>
                </m:r>
              </m:oMath>
            </m:oMathPara>
          </w:p>
        </w:tc>
        <w:tc>
          <w:tcPr>
            <w:tcW w:w="2267" w:type="dxa"/>
          </w:tcPr>
          <w:p w14:paraId="3CE5F26D" w14:textId="77777777" w:rsidR="006A207E" w:rsidRDefault="00517352" w:rsidP="00F45B88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</m:t>
                    </m:r>
                  </m:sub>
                </m:sSub>
                <m:r>
                  <w:rPr>
                    <w:rFonts w:ascii="Cambria Math" w:hAnsi="Cambria Math"/>
                  </w:rPr>
                  <m:t>=1.3</m:t>
                </m:r>
              </m:oMath>
            </m:oMathPara>
          </w:p>
        </w:tc>
      </w:tr>
      <w:tr w:rsidR="006A207E" w14:paraId="69A667B0" w14:textId="77777777" w:rsidTr="006A207E">
        <w:tc>
          <w:tcPr>
            <w:tcW w:w="5240" w:type="dxa"/>
          </w:tcPr>
          <w:p w14:paraId="6A6580B0" w14:textId="77777777" w:rsidR="006A207E" w:rsidRDefault="00A20101" w:rsidP="00F45B88">
            <w:r w:rsidRPr="00A20101">
              <w:t>Ove aktivnosti su me zainteresirale za temu/poglavlje.</w:t>
            </w:r>
          </w:p>
        </w:tc>
        <w:tc>
          <w:tcPr>
            <w:tcW w:w="1843" w:type="dxa"/>
          </w:tcPr>
          <w:p w14:paraId="5306C876" w14:textId="77777777" w:rsidR="006A207E" w:rsidRDefault="00517352" w:rsidP="00F45B88"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Cambria Math"/>
                  </w:rPr>
                  <m:t>=3.58</m:t>
                </m:r>
              </m:oMath>
            </m:oMathPara>
          </w:p>
        </w:tc>
        <w:tc>
          <w:tcPr>
            <w:tcW w:w="2267" w:type="dxa"/>
          </w:tcPr>
          <w:p w14:paraId="46453F9E" w14:textId="77777777" w:rsidR="006A207E" w:rsidRDefault="00517352" w:rsidP="00F45B88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6</m:t>
                    </m:r>
                  </m:sub>
                </m:sSub>
                <m:r>
                  <w:rPr>
                    <w:rFonts w:ascii="Cambria Math" w:hAnsi="Cambria Math"/>
                  </w:rPr>
                  <m:t>=0.95</m:t>
                </m:r>
              </m:oMath>
            </m:oMathPara>
          </w:p>
        </w:tc>
      </w:tr>
      <w:tr w:rsidR="006A207E" w14:paraId="12B2FB1B" w14:textId="77777777" w:rsidTr="006A207E">
        <w:tc>
          <w:tcPr>
            <w:tcW w:w="5240" w:type="dxa"/>
          </w:tcPr>
          <w:p w14:paraId="2FE4BC3B" w14:textId="77777777" w:rsidR="006A207E" w:rsidRDefault="00A20101" w:rsidP="00F45B88">
            <w:r w:rsidRPr="00A20101">
              <w:t>Volio</w:t>
            </w:r>
            <w:r>
              <w:t>/voljela</w:t>
            </w:r>
            <w:r w:rsidRPr="00A20101">
              <w:t xml:space="preserve"> bih više ovakvih aktivnosti na nastavi (ne samo matematike).</w:t>
            </w:r>
          </w:p>
        </w:tc>
        <w:tc>
          <w:tcPr>
            <w:tcW w:w="1843" w:type="dxa"/>
          </w:tcPr>
          <w:p w14:paraId="7515EF7C" w14:textId="77777777" w:rsidR="006A207E" w:rsidRDefault="00517352" w:rsidP="00F45B88"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Cambria Math"/>
                  </w:rPr>
                  <m:t>=4.33</m:t>
                </m:r>
              </m:oMath>
            </m:oMathPara>
          </w:p>
        </w:tc>
        <w:tc>
          <w:tcPr>
            <w:tcW w:w="2267" w:type="dxa"/>
          </w:tcPr>
          <w:p w14:paraId="65914FE5" w14:textId="77777777" w:rsidR="006A207E" w:rsidRDefault="00517352" w:rsidP="00F45B88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7</m:t>
                    </m:r>
                  </m:sub>
                </m:sSub>
                <m:r>
                  <w:rPr>
                    <w:rFonts w:ascii="Cambria Math" w:hAnsi="Cambria Math"/>
                  </w:rPr>
                  <m:t>=1.25</m:t>
                </m:r>
              </m:oMath>
            </m:oMathPara>
          </w:p>
        </w:tc>
      </w:tr>
      <w:tr w:rsidR="006A207E" w14:paraId="6C7A1645" w14:textId="77777777" w:rsidTr="006A207E">
        <w:tc>
          <w:tcPr>
            <w:tcW w:w="5240" w:type="dxa"/>
          </w:tcPr>
          <w:p w14:paraId="7757F866" w14:textId="77777777" w:rsidR="006A207E" w:rsidRDefault="00A20101" w:rsidP="00F45B88">
            <w:r w:rsidRPr="00A20101">
              <w:t>Razumijem zbog čega su ove aktivnosti važne za učenje i poučavanje.</w:t>
            </w:r>
          </w:p>
        </w:tc>
        <w:tc>
          <w:tcPr>
            <w:tcW w:w="1843" w:type="dxa"/>
          </w:tcPr>
          <w:p w14:paraId="04E146BC" w14:textId="77777777" w:rsidR="006A207E" w:rsidRDefault="00517352" w:rsidP="00F45B88"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Cambria Math"/>
                  </w:rPr>
                  <m:t>=4.42</m:t>
                </m:r>
              </m:oMath>
            </m:oMathPara>
          </w:p>
        </w:tc>
        <w:tc>
          <w:tcPr>
            <w:tcW w:w="2267" w:type="dxa"/>
          </w:tcPr>
          <w:p w14:paraId="51636081" w14:textId="77777777" w:rsidR="006A207E" w:rsidRDefault="00517352" w:rsidP="00F45B88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8</m:t>
                    </m:r>
                  </m:sub>
                </m:sSub>
                <m:r>
                  <w:rPr>
                    <w:rFonts w:ascii="Cambria Math" w:hAnsi="Cambria Math"/>
                  </w:rPr>
                  <m:t>=1.38</m:t>
                </m:r>
              </m:oMath>
            </m:oMathPara>
          </w:p>
        </w:tc>
      </w:tr>
    </w:tbl>
    <w:p w14:paraId="22B53401" w14:textId="77777777" w:rsidR="00A20101" w:rsidRDefault="00A20101" w:rsidP="00F45B88"/>
    <w:p w14:paraId="1C98C33D" w14:textId="77777777" w:rsidR="00A20101" w:rsidRDefault="00A20101" w:rsidP="00F45B88">
      <w:r>
        <w:t xml:space="preserve">Iz analize je vidljivo da se učenici uglavnom slažu s tvrdnjama. </w:t>
      </w:r>
    </w:p>
    <w:p w14:paraId="2B86A978" w14:textId="77777777" w:rsidR="006A207E" w:rsidRDefault="00A20101" w:rsidP="00F45B88">
      <w:r>
        <w:t>Za istaknuti je da se najviše slažu s izjavama „</w:t>
      </w:r>
      <w:r w:rsidRPr="00A20101">
        <w:t xml:space="preserve">Naknadnom analizom odgovora (s </w:t>
      </w:r>
      <w:r w:rsidR="00915F57">
        <w:t>nastavnikom/</w:t>
      </w:r>
      <w:proofErr w:type="spellStart"/>
      <w:r w:rsidR="00915F57">
        <w:t>icom</w:t>
      </w:r>
      <w:proofErr w:type="spellEnd"/>
      <w:r w:rsidRPr="00A20101">
        <w:t>) mogu naučiti nešto novo // ispraviti pogrešno naučeno</w:t>
      </w:r>
      <w:r>
        <w:t>“, „</w:t>
      </w:r>
      <w:r w:rsidR="00915F57">
        <w:t>Nastavnik/</w:t>
      </w:r>
      <w:proofErr w:type="spellStart"/>
      <w:r w:rsidR="00915F57">
        <w:t>ica</w:t>
      </w:r>
      <w:proofErr w:type="spellEnd"/>
      <w:r w:rsidRPr="00A20101">
        <w:t xml:space="preserve"> može iz mojih odgovora zaključiti što mi u temi/poglavlju (ni)je jasno</w:t>
      </w:r>
      <w:r>
        <w:t>“ i „</w:t>
      </w:r>
      <w:r w:rsidRPr="00A20101">
        <w:t>Razumijem zbog čega su ove aktivnosti važne za učenje i poučavanje</w:t>
      </w:r>
      <w:r>
        <w:t>“ čime pokazuju da shvaćaju važnost ovakvih aktivnosti.</w:t>
      </w:r>
    </w:p>
    <w:p w14:paraId="68201DCF" w14:textId="77777777" w:rsidR="00A20101" w:rsidRDefault="00A20101" w:rsidP="00F45B88">
      <w:r>
        <w:t>Treba istaknuti i izjave „</w:t>
      </w:r>
      <w:r w:rsidRPr="00A20101">
        <w:t>Ove aktivnosti su mi pomogle pri učenju</w:t>
      </w:r>
      <w:r>
        <w:t>“ i „</w:t>
      </w:r>
      <w:r w:rsidRPr="00A20101">
        <w:t>Ove aktivnosti su me zainteresirale za temu/poglavlje</w:t>
      </w:r>
      <w:r>
        <w:t>“ s kojima se također uglavnom slažu, ali ipak u manjoj mjeri. To se može povezati s činjenicom da ovakve aktivnosti mogu biti dobar putokaz učenicima, ali ipak i oni trebaju preuzeti odgovornost za svoj rad kod kuće.</w:t>
      </w:r>
    </w:p>
    <w:p w14:paraId="33247766" w14:textId="77777777" w:rsidR="00A20101" w:rsidRDefault="00A20101" w:rsidP="00F45B88">
      <w:r>
        <w:t>Veselimo se što ćemo imati priliku i ubuduće provoditi ovakva manja istraživanja i na taj način osvijestiti sebi i učenicima važnost ovakvih aktivnosti.</w:t>
      </w:r>
    </w:p>
    <w:sectPr w:rsidR="00A20101" w:rsidSect="00780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1NzW2sDA2NDI0NjNT0lEKTi0uzszPAykwrAUAICaJMCwAAAA="/>
  </w:docVars>
  <w:rsids>
    <w:rsidRoot w:val="00F45B88"/>
    <w:rsid w:val="003E40E4"/>
    <w:rsid w:val="00517352"/>
    <w:rsid w:val="006A207E"/>
    <w:rsid w:val="00780B56"/>
    <w:rsid w:val="007C14AD"/>
    <w:rsid w:val="008A399D"/>
    <w:rsid w:val="00915F57"/>
    <w:rsid w:val="00A20101"/>
    <w:rsid w:val="00D92EDA"/>
    <w:rsid w:val="00F4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7B5A"/>
  <w15:chartTrackingRefBased/>
  <w15:docId w15:val="{75F51EA8-A20D-400D-9EA7-B54B56BB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A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6A20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C19B2-6C91-4936-8D7A-402FFB1A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Kličinović</dc:creator>
  <cp:keywords/>
  <dc:description/>
  <cp:lastModifiedBy>Renata</cp:lastModifiedBy>
  <cp:revision>2</cp:revision>
  <dcterms:created xsi:type="dcterms:W3CDTF">2021-07-01T04:41:00Z</dcterms:created>
  <dcterms:modified xsi:type="dcterms:W3CDTF">2021-07-01T04:41:00Z</dcterms:modified>
</cp:coreProperties>
</file>